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E751" w14:textId="77777777" w:rsidR="000412E7" w:rsidRPr="00665535" w:rsidRDefault="000412E7" w:rsidP="000412E7">
      <w:pPr>
        <w:shd w:val="clear" w:color="auto" w:fill="FFFFFF"/>
        <w:spacing w:line="276" w:lineRule="auto"/>
        <w:ind w:firstLine="0"/>
        <w:contextualSpacing/>
        <w:jc w:val="both"/>
        <w:outlineLvl w:val="2"/>
        <w:rPr>
          <w:rFonts w:ascii="Sylfaen" w:eastAsia="Times New Roman" w:hAnsi="Sylfaen" w:cs="Arial"/>
          <w:b/>
          <w:szCs w:val="24"/>
          <w:lang w:eastAsia="ru-RU"/>
        </w:rPr>
      </w:pPr>
      <w:r w:rsidRPr="001A0BC3">
        <w:rPr>
          <w:rFonts w:ascii="Sylfaen" w:eastAsia="Times New Roman" w:hAnsi="Sylfaen" w:cs="Arial"/>
          <w:b/>
          <w:szCs w:val="24"/>
          <w:lang w:eastAsia="ru-RU"/>
        </w:rPr>
        <w:t>СПИСОК ОСНОВНЫХ ПУБЛИКАЦИЙ</w:t>
      </w:r>
    </w:p>
    <w:p w14:paraId="293706C3" w14:textId="77777777" w:rsidR="000412E7" w:rsidRPr="00DF2DAD" w:rsidRDefault="000412E7" w:rsidP="000412E7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outlineLvl w:val="2"/>
        <w:rPr>
          <w:rFonts w:ascii="Sylfaen" w:eastAsia="Times New Roman" w:hAnsi="Sylfaen" w:cs="Arial"/>
          <w:szCs w:val="24"/>
          <w:lang w:eastAsia="ru-RU"/>
        </w:rPr>
      </w:pP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Եվրոպական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միության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իրավունքի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աղբյուրների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համակարգը</w:t>
      </w:r>
      <w:proofErr w:type="spellEnd"/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, </w:t>
      </w:r>
      <w:r w:rsidRPr="00DF2DAD">
        <w:rPr>
          <w:rFonts w:ascii="Sylfaen" w:eastAsia="Times New Roman" w:hAnsi="Sylfaen" w:cs="Arial"/>
          <w:szCs w:val="24"/>
          <w:lang w:eastAsia="ru-RU"/>
        </w:rPr>
        <w:t>(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Հոդված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>)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,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Դատական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իշխանություն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>, 2011,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 </w:t>
      </w:r>
      <w:r w:rsidRPr="00DF2DAD">
        <w:rPr>
          <w:rFonts w:ascii="Sylfaen" w:eastAsia="Times New Roman" w:hAnsi="Sylfaen" w:cs="Arial"/>
          <w:szCs w:val="24"/>
          <w:lang w:eastAsia="ru-RU"/>
        </w:rPr>
        <w:t>11 -12 (148 -149)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, </w:t>
      </w:r>
      <w:r w:rsidRPr="00DF2DAD">
        <w:rPr>
          <w:rFonts w:ascii="Sylfaen" w:eastAsia="Times New Roman" w:hAnsi="Sylfaen" w:cs="Arial"/>
          <w:szCs w:val="24"/>
          <w:lang w:eastAsia="ru-RU"/>
        </w:rPr>
        <w:t>68-74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 </w:t>
      </w:r>
    </w:p>
    <w:p w14:paraId="3F0B35BD" w14:textId="77777777" w:rsidR="000412E7" w:rsidRPr="00DF2DAD" w:rsidRDefault="000412E7" w:rsidP="000412E7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outlineLvl w:val="2"/>
        <w:rPr>
          <w:rFonts w:ascii="Sylfaen" w:eastAsia="Times New Roman" w:hAnsi="Sylfaen" w:cs="Arial"/>
          <w:szCs w:val="24"/>
          <w:lang w:val="hy-AM" w:eastAsia="ru-RU"/>
        </w:rPr>
      </w:pP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Դատական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ակտի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հիմնավորումը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արդար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դատաքննության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իրավունքի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լույսի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ներքո</w:t>
      </w:r>
      <w:proofErr w:type="spellEnd"/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, </w:t>
      </w:r>
      <w:r w:rsidRPr="00DF2DAD">
        <w:rPr>
          <w:rFonts w:ascii="Sylfaen" w:eastAsia="Times New Roman" w:hAnsi="Sylfaen" w:cs="Arial"/>
          <w:szCs w:val="24"/>
          <w:lang w:eastAsia="ru-RU"/>
        </w:rPr>
        <w:t>(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Հոդված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>)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,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Հարավային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Կովկասի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իրավունքի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ամսագիր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, GIZ, </w:t>
      </w:r>
      <w:proofErr w:type="spellStart"/>
      <w:r w:rsidRPr="00DF2DAD">
        <w:rPr>
          <w:rFonts w:ascii="Sylfaen" w:eastAsia="Times New Roman" w:hAnsi="Sylfaen" w:cs="Arial"/>
          <w:szCs w:val="24"/>
          <w:lang w:eastAsia="ru-RU"/>
        </w:rPr>
        <w:t>թիվ</w:t>
      </w:r>
      <w:proofErr w:type="spellEnd"/>
      <w:r w:rsidRPr="00DF2DAD">
        <w:rPr>
          <w:rFonts w:ascii="Sylfaen" w:eastAsia="Times New Roman" w:hAnsi="Sylfaen" w:cs="Arial"/>
          <w:szCs w:val="24"/>
          <w:lang w:eastAsia="ru-RU"/>
        </w:rPr>
        <w:t xml:space="preserve"> 04, 2013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, </w:t>
      </w:r>
      <w:r w:rsidRPr="00DF2DAD">
        <w:rPr>
          <w:rFonts w:ascii="Sylfaen" w:eastAsia="Times New Roman" w:hAnsi="Sylfaen" w:cs="Arial"/>
          <w:szCs w:val="24"/>
          <w:lang w:eastAsia="ru-RU"/>
        </w:rPr>
        <w:t>158-164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, </w:t>
      </w:r>
      <w:r w:rsidRPr="00DF2DAD">
        <w:rPr>
          <w:rFonts w:ascii="Sylfaen" w:eastAsia="Times New Roman" w:hAnsi="Sylfaen" w:cs="Arial"/>
          <w:szCs w:val="24"/>
          <w:lang w:eastAsia="ru-RU"/>
        </w:rPr>
        <w:t>http://lawlibrary.info/ge/books/giz2013-ru-en-south-caucasus-law-journal-3.pdf</w:t>
      </w:r>
    </w:p>
    <w:p w14:paraId="2C1977C4" w14:textId="77777777" w:rsidR="000412E7" w:rsidRPr="00DF2DAD" w:rsidRDefault="000412E7" w:rsidP="000412E7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outlineLvl w:val="2"/>
        <w:rPr>
          <w:rFonts w:ascii="Sylfaen" w:eastAsia="Times New Roman" w:hAnsi="Sylfaen" w:cs="Arial"/>
          <w:szCs w:val="24"/>
          <w:lang w:val="hy-AM" w:eastAsia="ru-RU"/>
        </w:rPr>
      </w:pPr>
      <w:r w:rsidRPr="00DF2DAD">
        <w:rPr>
          <w:rFonts w:ascii="Sylfaen" w:eastAsia="Times New Roman" w:hAnsi="Sylfaen" w:cs="Arial"/>
          <w:szCs w:val="24"/>
          <w:lang w:val="hy-AM" w:eastAsia="ru-RU"/>
        </w:rPr>
        <w:t>Վերարտադրողական իրավունքի իրացման հիմնախնդիրները մարդու սոմատիկ իրավունքների լույսի ներքո, (Հոդված)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ab/>
        <w:t>Դատական իշխանություն, ապրիլ-մայիս, 4-5 (202-203), 2016, 22-29</w:t>
      </w:r>
    </w:p>
    <w:p w14:paraId="68146774" w14:textId="77777777" w:rsidR="000412E7" w:rsidRPr="00DF2DAD" w:rsidRDefault="000412E7" w:rsidP="000412E7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outlineLvl w:val="2"/>
        <w:rPr>
          <w:rFonts w:ascii="Sylfaen" w:eastAsia="Times New Roman" w:hAnsi="Sylfaen" w:cs="Arial"/>
          <w:szCs w:val="24"/>
          <w:lang w:val="hy-AM" w:eastAsia="ru-RU"/>
        </w:rPr>
      </w:pPr>
      <w:r w:rsidRPr="00DF2DAD">
        <w:rPr>
          <w:rFonts w:ascii="Sylfaen" w:eastAsia="Times New Roman" w:hAnsi="Sylfaen" w:cs="Arial"/>
          <w:szCs w:val="24"/>
          <w:lang w:val="hy-AM" w:eastAsia="ru-RU"/>
        </w:rPr>
        <w:t>Սոմատիկ իրավունքների լույսի ներքո մարդու ֆիզիկական անձեռնմխելիության հիմնահարցերը, (Հոդված), «Արդարադատություն» գիտական հանդես,  ՀՀ ԱՆ ինստիտուտ ՊՈԱԿ, թիվ 6 (41), 2017 (դեկտեմբեր),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ab/>
        <w:t xml:space="preserve">20-25 </w:t>
      </w:r>
    </w:p>
    <w:p w14:paraId="71D1B164" w14:textId="77777777" w:rsidR="000412E7" w:rsidRPr="00DF2DAD" w:rsidRDefault="000412E7" w:rsidP="000412E7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outlineLvl w:val="2"/>
        <w:rPr>
          <w:rFonts w:ascii="Sylfaen" w:eastAsia="Times New Roman" w:hAnsi="Sylfaen" w:cs="Arial"/>
          <w:szCs w:val="24"/>
          <w:lang w:val="hy-AM" w:eastAsia="ru-RU"/>
        </w:rPr>
      </w:pPr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Մարդու սոմատիկ իրավունքների պատմափիլիսոփայական և տեսաիրավական հիմքերը, (Հոդված), Դատական իշխանություն, սեպտեմբեր-հոկտեմբեր, 9-10, (219-220), 2017, 21-29 </w:t>
      </w:r>
    </w:p>
    <w:p w14:paraId="148F4AE2" w14:textId="77777777" w:rsidR="000412E7" w:rsidRPr="00DF2DAD" w:rsidRDefault="000412E7" w:rsidP="000412E7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outlineLvl w:val="2"/>
        <w:rPr>
          <w:rFonts w:ascii="Sylfaen" w:eastAsia="Times New Roman" w:hAnsi="Sylfaen" w:cs="Arial"/>
          <w:szCs w:val="24"/>
          <w:lang w:val="hy-AM" w:eastAsia="ru-RU"/>
        </w:rPr>
      </w:pPr>
      <w:r w:rsidRPr="00DF2DAD">
        <w:rPr>
          <w:rFonts w:ascii="Sylfaen" w:eastAsia="Times New Roman" w:hAnsi="Sylfaen" w:cs="Arial"/>
          <w:szCs w:val="24"/>
          <w:lang w:val="hy-AM" w:eastAsia="ru-RU"/>
        </w:rPr>
        <w:t>Կյանքի ավարտի հարցը մարդու սոմատիկ իրավունքների շրջանակում, (Հոդված) «Արդարադատություն» գիտական հանդես, ՀՀ ԱՆ ինստիտուտ ՊՈԱԿ, թիվ 1 (42), 2018 (փետրվար)</w:t>
      </w:r>
      <w:r>
        <w:rPr>
          <w:rFonts w:ascii="Sylfaen" w:eastAsia="Times New Roman" w:hAnsi="Sylfaen" w:cs="Arial"/>
          <w:szCs w:val="24"/>
          <w:lang w:val="hy-AM" w:eastAsia="ru-RU"/>
        </w:rPr>
        <w:t xml:space="preserve">, 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>20-24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ab/>
      </w:r>
    </w:p>
    <w:p w14:paraId="583875D3" w14:textId="77777777" w:rsidR="000412E7" w:rsidRPr="00DF2DAD" w:rsidRDefault="000412E7" w:rsidP="000412E7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outlineLvl w:val="2"/>
        <w:rPr>
          <w:rFonts w:ascii="Sylfaen" w:eastAsia="Times New Roman" w:hAnsi="Sylfaen" w:cs="Arial"/>
          <w:szCs w:val="24"/>
          <w:lang w:val="hy-AM" w:eastAsia="ru-RU"/>
        </w:rPr>
      </w:pPr>
      <w:r w:rsidRPr="00DF2DAD">
        <w:rPr>
          <w:rFonts w:ascii="Sylfaen" w:eastAsia="Times New Roman" w:hAnsi="Sylfaen" w:cs="Arial"/>
          <w:szCs w:val="24"/>
          <w:lang w:val="hy-AM" w:eastAsia="ru-RU"/>
        </w:rPr>
        <w:t xml:space="preserve">Իրավական սոմատոլոգիայում մարդու համաձայնության էությունն ու հիմքերը, (Հոդված), Հանրային կառավարում, «Տիգրան Մեծ» տպագրատուն,  1-2/2018, 2018, 148-156  </w:t>
      </w:r>
    </w:p>
    <w:p w14:paraId="090D0290" w14:textId="77777777" w:rsidR="000412E7" w:rsidRPr="00DF2DAD" w:rsidRDefault="000412E7" w:rsidP="000412E7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outlineLvl w:val="2"/>
        <w:rPr>
          <w:rFonts w:ascii="Sylfaen" w:eastAsia="Times New Roman" w:hAnsi="Sylfaen" w:cs="Arial"/>
          <w:szCs w:val="24"/>
          <w:lang w:val="hy-AM" w:eastAsia="ru-RU"/>
        </w:rPr>
      </w:pPr>
      <w:r w:rsidRPr="00DF2DAD">
        <w:rPr>
          <w:rFonts w:ascii="Sylfaen" w:eastAsia="Times New Roman" w:hAnsi="Sylfaen" w:cs="Arial"/>
          <w:szCs w:val="24"/>
          <w:lang w:val="hy-AM" w:eastAsia="ru-RU"/>
        </w:rPr>
        <w:t>Մարդու սոմատիկ իրավունքների էությունը և համակարգը, (Հոդված), Դատական իշխանություն, հունվար-փետրվար, 2018, 03-04 (225-226), 2018,</w:t>
      </w:r>
      <w:r w:rsidRPr="00DF2DAD">
        <w:rPr>
          <w:rFonts w:ascii="Sylfaen" w:eastAsia="Times New Roman" w:hAnsi="Sylfaen" w:cs="Arial"/>
          <w:szCs w:val="24"/>
          <w:lang w:val="hy-AM" w:eastAsia="ru-RU"/>
        </w:rPr>
        <w:tab/>
        <w:t xml:space="preserve">3-9, </w:t>
      </w:r>
    </w:p>
    <w:p w14:paraId="69938B15" w14:textId="77777777" w:rsidR="000408D6" w:rsidRPr="000412E7" w:rsidRDefault="000408D6">
      <w:pPr>
        <w:rPr>
          <w:lang w:val="hy-AM"/>
        </w:rPr>
      </w:pPr>
    </w:p>
    <w:sectPr w:rsidR="000408D6" w:rsidRPr="000412E7" w:rsidSect="0084008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B5CD2"/>
    <w:multiLevelType w:val="hybridMultilevel"/>
    <w:tmpl w:val="629EB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F0"/>
    <w:rsid w:val="000408D6"/>
    <w:rsid w:val="000412E7"/>
    <w:rsid w:val="004A59F0"/>
    <w:rsid w:val="0084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C7E44-E9EE-4428-8702-1CD077FC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E7"/>
    <w:pPr>
      <w:spacing w:after="0" w:line="240" w:lineRule="auto"/>
      <w:ind w:firstLine="706"/>
    </w:pPr>
    <w:rPr>
      <w:rFonts w:ascii="GHEA Grapalat" w:hAnsi="GHEA Grapala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Mardiyan</dc:creator>
  <cp:keywords/>
  <dc:description/>
  <cp:lastModifiedBy>Gayane Mardiyan</cp:lastModifiedBy>
  <cp:revision>2</cp:revision>
  <dcterms:created xsi:type="dcterms:W3CDTF">2026-01-08T05:34:00Z</dcterms:created>
  <dcterms:modified xsi:type="dcterms:W3CDTF">2026-01-08T05:34:00Z</dcterms:modified>
</cp:coreProperties>
</file>